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20503F">
      <w:pPr>
        <w:jc w:val="center"/>
        <w:rPr>
          <w:rFonts w:hint="default" w:eastAsiaTheme="minorEastAsia"/>
          <w:b/>
          <w:bCs/>
          <w:sz w:val="36"/>
          <w:szCs w:val="44"/>
          <w:lang w:val="en-US" w:eastAsia="zh-CN"/>
        </w:rPr>
      </w:pPr>
      <w:r>
        <w:rPr>
          <w:rFonts w:hint="eastAsia"/>
          <w:b/>
          <w:bCs/>
          <w:sz w:val="36"/>
          <w:szCs w:val="44"/>
          <w:lang w:val="en-US" w:eastAsia="zh-CN"/>
        </w:rPr>
        <w:t>工程量清单编制说明</w:t>
      </w:r>
    </w:p>
    <w:p w14:paraId="50534030"/>
    <w:p w14:paraId="15E91DB1">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textAlignment w:val="auto"/>
      </w:pPr>
      <w:r>
        <w:rPr>
          <w:rFonts w:hint="eastAsia" w:ascii="宋体" w:hAnsi="宋体" w:eastAsia="宋体" w:cs="宋体"/>
          <w:color w:val="000000"/>
          <w:sz w:val="28"/>
          <w:szCs w:val="28"/>
        </w:rPr>
        <w:t>一.工程概况：</w:t>
      </w:r>
    </w:p>
    <w:p w14:paraId="32AC9BDE">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textAlignment w:val="auto"/>
      </w:pPr>
      <w:r>
        <w:rPr>
          <w:rFonts w:hint="eastAsia" w:ascii="宋体" w:hAnsi="宋体" w:eastAsia="宋体" w:cs="宋体"/>
          <w:color w:val="000000"/>
          <w:sz w:val="28"/>
          <w:szCs w:val="28"/>
        </w:rPr>
        <w:t>1.项目名称：高桥二期配售型保障性住房建设项目室外给水及1#设备用房工程</w:t>
      </w:r>
    </w:p>
    <w:p w14:paraId="24C2CBD5">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textAlignment w:val="auto"/>
      </w:pPr>
      <w:r>
        <w:rPr>
          <w:rFonts w:hint="eastAsia" w:ascii="宋体" w:hAnsi="宋体" w:eastAsia="宋体" w:cs="宋体"/>
          <w:color w:val="000000"/>
          <w:sz w:val="28"/>
          <w:szCs w:val="28"/>
        </w:rPr>
        <w:t>2.建设地点：高桥二期</w:t>
      </w:r>
    </w:p>
    <w:p w14:paraId="783ABC30">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textAlignment w:val="auto"/>
      </w:pPr>
      <w:r>
        <w:rPr>
          <w:rFonts w:hint="eastAsia" w:ascii="宋体" w:hAnsi="宋体" w:eastAsia="宋体" w:cs="宋体"/>
          <w:color w:val="000000"/>
          <w:sz w:val="28"/>
          <w:szCs w:val="28"/>
        </w:rPr>
        <w:t>3.项目概况：本项目主要建设</w:t>
      </w:r>
      <w:r>
        <w:rPr>
          <w:rFonts w:hint="eastAsia" w:ascii="宋体" w:hAnsi="宋体" w:eastAsia="宋体" w:cs="宋体"/>
          <w:color w:val="000000"/>
          <w:sz w:val="28"/>
          <w:szCs w:val="28"/>
          <w:lang w:val="en-US" w:eastAsia="zh-CN"/>
        </w:rPr>
        <w:t>室外一次、二次给水管网工程、室外消火栓、1#设备用房改造等，不含各栋楼1-3</w:t>
      </w:r>
      <w:bookmarkStart w:id="0" w:name="_GoBack"/>
      <w:bookmarkEnd w:id="0"/>
      <w:r>
        <w:rPr>
          <w:rFonts w:hint="eastAsia" w:ascii="宋体" w:hAnsi="宋体" w:eastAsia="宋体" w:cs="宋体"/>
          <w:color w:val="000000"/>
          <w:sz w:val="28"/>
          <w:szCs w:val="28"/>
          <w:lang w:val="en-US" w:eastAsia="zh-CN"/>
        </w:rPr>
        <w:t>层市政直供、二次供水及地库内管道，</w:t>
      </w:r>
      <w:r>
        <w:rPr>
          <w:rFonts w:hint="eastAsia" w:ascii="宋体" w:hAnsi="宋体" w:eastAsia="宋体" w:cs="宋体"/>
          <w:color w:val="000000"/>
          <w:sz w:val="28"/>
          <w:szCs w:val="28"/>
        </w:rPr>
        <w:t>但需考虑</w:t>
      </w:r>
      <w:r>
        <w:rPr>
          <w:rFonts w:hint="eastAsia" w:ascii="宋体" w:hAnsi="宋体" w:eastAsia="宋体" w:cs="宋体"/>
          <w:color w:val="000000"/>
          <w:sz w:val="28"/>
          <w:szCs w:val="28"/>
          <w:lang w:eastAsia="zh-CN"/>
        </w:rPr>
        <w:t>与各</w:t>
      </w:r>
      <w:r>
        <w:rPr>
          <w:rFonts w:hint="eastAsia" w:ascii="宋体" w:hAnsi="宋体" w:eastAsia="宋体" w:cs="宋体"/>
          <w:color w:val="000000"/>
          <w:sz w:val="28"/>
          <w:szCs w:val="28"/>
        </w:rPr>
        <w:t>栋楼及地库内管道的接驳。具体建设内容详见设计图纸及工程量清单。</w:t>
      </w:r>
    </w:p>
    <w:p w14:paraId="20F67763">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textAlignment w:val="auto"/>
      </w:pPr>
      <w:r>
        <w:rPr>
          <w:rFonts w:hint="eastAsia" w:ascii="宋体" w:hAnsi="宋体" w:eastAsia="宋体" w:cs="宋体"/>
          <w:color w:val="000000"/>
          <w:sz w:val="28"/>
          <w:szCs w:val="28"/>
        </w:rPr>
        <w:t>二.工程招标范围：</w:t>
      </w:r>
    </w:p>
    <w:p w14:paraId="73E27345">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textAlignment w:val="auto"/>
      </w:pPr>
      <w:r>
        <w:rPr>
          <w:rFonts w:hint="eastAsia" w:ascii="宋体" w:hAnsi="宋体" w:eastAsia="宋体" w:cs="宋体"/>
          <w:color w:val="000000"/>
          <w:sz w:val="28"/>
          <w:szCs w:val="28"/>
        </w:rPr>
        <w:t>工程内容：设计图纸范围内的工程施工内容，详见招标文件须知中“招标范围”、“计算范围及计价依据”。</w:t>
      </w:r>
    </w:p>
    <w:p w14:paraId="6DCB2EC4">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textAlignment w:val="auto"/>
      </w:pPr>
      <w:r>
        <w:rPr>
          <w:rFonts w:hint="eastAsia" w:ascii="宋体" w:hAnsi="宋体" w:eastAsia="宋体" w:cs="宋体"/>
          <w:color w:val="000000"/>
          <w:sz w:val="28"/>
          <w:szCs w:val="28"/>
        </w:rPr>
        <w:t>三.编制依据及有关资料：</w:t>
      </w:r>
    </w:p>
    <w:p w14:paraId="78015BDD">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textAlignment w:val="auto"/>
      </w:pPr>
      <w:r>
        <w:rPr>
          <w:rFonts w:hint="eastAsia" w:ascii="宋体" w:hAnsi="宋体" w:eastAsia="宋体" w:cs="宋体"/>
          <w:color w:val="000000"/>
          <w:sz w:val="28"/>
          <w:szCs w:val="28"/>
        </w:rPr>
        <w:t>1.项目批复文件；</w:t>
      </w:r>
    </w:p>
    <w:p w14:paraId="1221B04D">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textAlignment w:val="auto"/>
      </w:pPr>
      <w:r>
        <w:rPr>
          <w:rFonts w:hint="eastAsia" w:ascii="宋体" w:hAnsi="宋体" w:eastAsia="宋体" w:cs="宋体"/>
          <w:color w:val="000000"/>
          <w:sz w:val="28"/>
          <w:szCs w:val="28"/>
        </w:rPr>
        <w:t>2.建设单位提供项目的设计图纸及答疑文件；</w:t>
      </w:r>
    </w:p>
    <w:p w14:paraId="4150A2A1">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textAlignment w:val="auto"/>
      </w:pPr>
      <w:r>
        <w:rPr>
          <w:rFonts w:hint="eastAsia" w:ascii="宋体" w:hAnsi="宋体" w:eastAsia="宋体" w:cs="宋体"/>
          <w:color w:val="000000"/>
          <w:sz w:val="28"/>
          <w:szCs w:val="28"/>
        </w:rPr>
        <w:t>3.《建设工程工程量清单计价规范》（GB50500-2013）、《2013宁夏建设工程清单计价规范实施细则》（宁建发[2014]108号）；</w:t>
      </w:r>
    </w:p>
    <w:p w14:paraId="599675CA">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textAlignment w:val="auto"/>
      </w:pPr>
      <w:r>
        <w:rPr>
          <w:rFonts w:hint="eastAsia" w:ascii="宋体" w:hAnsi="宋体" w:eastAsia="宋体" w:cs="宋体"/>
          <w:color w:val="000000"/>
          <w:sz w:val="28"/>
          <w:szCs w:val="28"/>
        </w:rPr>
        <w:t>4.取费类别：建筑工程三类、安装工程三类；</w:t>
      </w:r>
    </w:p>
    <w:p w14:paraId="0E3FF2C5">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textAlignment w:val="auto"/>
      </w:pPr>
      <w:r>
        <w:rPr>
          <w:rFonts w:hint="eastAsia" w:ascii="宋体" w:hAnsi="宋体" w:eastAsia="宋体" w:cs="宋体"/>
          <w:color w:val="000000"/>
          <w:sz w:val="28"/>
          <w:szCs w:val="28"/>
          <w:lang w:val="en-US" w:eastAsia="zh-CN"/>
        </w:rPr>
        <w:t>5</w:t>
      </w:r>
      <w:r>
        <w:rPr>
          <w:rFonts w:hint="eastAsia" w:ascii="宋体" w:hAnsi="宋体" w:eastAsia="宋体" w:cs="宋体"/>
          <w:color w:val="000000"/>
          <w:sz w:val="28"/>
          <w:szCs w:val="28"/>
        </w:rPr>
        <w:t>.相关的规范、标准图集和技术资料；</w:t>
      </w:r>
    </w:p>
    <w:p w14:paraId="2335857E">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textAlignment w:val="auto"/>
      </w:pPr>
      <w:r>
        <w:rPr>
          <w:rFonts w:hint="eastAsia" w:ascii="宋体" w:hAnsi="宋体" w:eastAsia="宋体" w:cs="宋体"/>
          <w:color w:val="000000"/>
          <w:sz w:val="28"/>
          <w:szCs w:val="28"/>
          <w:lang w:val="en-US" w:eastAsia="zh-CN"/>
        </w:rPr>
        <w:t>6</w:t>
      </w:r>
      <w:r>
        <w:rPr>
          <w:rFonts w:hint="eastAsia" w:ascii="宋体" w:hAnsi="宋体" w:eastAsia="宋体" w:cs="宋体"/>
          <w:color w:val="000000"/>
          <w:sz w:val="28"/>
          <w:szCs w:val="28"/>
        </w:rPr>
        <w:t>.暂列金按分部分项工程费的5%计取。</w:t>
      </w:r>
    </w:p>
    <w:p w14:paraId="4B839B36">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textAlignment w:val="auto"/>
      </w:pPr>
      <w:r>
        <w:rPr>
          <w:rFonts w:hint="eastAsia" w:ascii="宋体" w:hAnsi="宋体" w:eastAsia="宋体" w:cs="宋体"/>
          <w:color w:val="000000"/>
          <w:sz w:val="28"/>
          <w:szCs w:val="28"/>
        </w:rPr>
        <w:t>四.其他事项说明：</w:t>
      </w:r>
    </w:p>
    <w:p w14:paraId="46950413">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textAlignment w:val="auto"/>
      </w:pPr>
      <w:r>
        <w:rPr>
          <w:rFonts w:hint="eastAsia" w:ascii="宋体" w:hAnsi="宋体" w:eastAsia="宋体" w:cs="宋体"/>
          <w:color w:val="000000"/>
          <w:sz w:val="28"/>
          <w:szCs w:val="28"/>
        </w:rPr>
        <w:t>1.本说明未尽事项，以计价规范、工程量计算规则、计价管理办法及有关的法律、法规、建设行政主管部门颁发的文件为准；</w:t>
      </w:r>
    </w:p>
    <w:p w14:paraId="69B494D5">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textAlignment w:val="auto"/>
      </w:pPr>
      <w:r>
        <w:rPr>
          <w:rFonts w:hint="eastAsia" w:ascii="宋体" w:hAnsi="宋体" w:eastAsia="宋体" w:cs="宋体"/>
          <w:color w:val="000000"/>
          <w:sz w:val="28"/>
          <w:szCs w:val="28"/>
        </w:rPr>
        <w:t>2.分部分项工程量清单中对于工程项目的项目特征及具体做法只做重点描述，详细情况见工程量清单中相关图集、施工图纸、答疑文件、说明及验收移交标准；</w:t>
      </w:r>
    </w:p>
    <w:p w14:paraId="67F31BC4">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textAlignment w:val="auto"/>
      </w:pPr>
      <w:r>
        <w:rPr>
          <w:rFonts w:hint="eastAsia" w:ascii="宋体" w:hAnsi="宋体" w:eastAsia="宋体" w:cs="宋体"/>
          <w:color w:val="000000"/>
          <w:sz w:val="28"/>
          <w:szCs w:val="28"/>
        </w:rPr>
        <w:t>3.报价需综合考虑材料运输及搬运费；</w:t>
      </w:r>
    </w:p>
    <w:p w14:paraId="7DE82D62">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textAlignment w:val="auto"/>
      </w:pPr>
      <w:r>
        <w:rPr>
          <w:rFonts w:hint="eastAsia" w:ascii="宋体" w:hAnsi="宋体" w:eastAsia="宋体" w:cs="宋体"/>
          <w:color w:val="000000"/>
          <w:sz w:val="28"/>
          <w:szCs w:val="28"/>
        </w:rPr>
        <w:t>4.税金：按增值税税率9%计入；</w:t>
      </w:r>
    </w:p>
    <w:p w14:paraId="1F8E7F40">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textAlignment w:val="auto"/>
      </w:pPr>
      <w:r>
        <w:rPr>
          <w:rFonts w:hint="eastAsia" w:ascii="宋体" w:hAnsi="宋体" w:eastAsia="宋体" w:cs="宋体"/>
          <w:color w:val="000000"/>
          <w:sz w:val="28"/>
          <w:szCs w:val="28"/>
        </w:rPr>
        <w:t>5.本项目所有现浇混凝土采用预拌混凝土,砂浆采用预拌砂浆，运距根据施工现场自行考虑；泵房要求张贴进出通道安全标识，管道流向标识，设备名称标识。二次供水人员管理公示栏，水泵房管理制度、二次供水卫生安全制度、二次供水卫生要求、二次供水设施卫生管理制度、水箱管理制度、供管水人员"五病"调离制度、二次供水设施管理人员职责等标识牌，具体以设计图纸及验收移交标准实施。</w:t>
      </w:r>
    </w:p>
    <w:p w14:paraId="7A9991F8">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textAlignment w:val="auto"/>
      </w:pPr>
      <w:r>
        <w:rPr>
          <w:rFonts w:hint="eastAsia" w:ascii="宋体" w:hAnsi="宋体" w:eastAsia="宋体" w:cs="宋体"/>
          <w:color w:val="000000"/>
          <w:sz w:val="28"/>
          <w:szCs w:val="28"/>
        </w:rPr>
        <w:t>6.本项目泵房智能化工程及配电、电缆控制系统及其他事项具体由施工单位进行深化，保证满足验收移交标准实施，报价需考虑全部费用。</w:t>
      </w:r>
    </w:p>
    <w:p w14:paraId="5365489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F509D3"/>
    <w:rsid w:val="0CC2254F"/>
    <w:rsid w:val="1965645E"/>
    <w:rsid w:val="26F509D3"/>
    <w:rsid w:val="2DD35B1A"/>
    <w:rsid w:val="35AA2C56"/>
    <w:rsid w:val="6425175A"/>
    <w:rsid w:val="6A34524E"/>
    <w:rsid w:val="6AFC561D"/>
    <w:rsid w:val="6BEA5A68"/>
    <w:rsid w:val="7DDD4C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765</Words>
  <Characters>808</Characters>
  <Lines>0</Lines>
  <Paragraphs>0</Paragraphs>
  <TotalTime>4</TotalTime>
  <ScaleCrop>false</ScaleCrop>
  <LinksUpToDate>false</LinksUpToDate>
  <CharactersWithSpaces>808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2026-02-04T01:19:00Z</dcterms:created>
  <dc:creator>富贵儿</dc:creator>
  <cp:lastModifiedBy>严冬之眠</cp:lastModifiedBy>
  <dcterms:modified xsi:type="dcterms:W3CDTF">2026-04-24T10:28:32Z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5FEC521D53C34A1C8D6DAC010B43A1D5_13</vt:lpwstr>
  </property>
  <property fmtid="{D5CDD505-2E9C-101B-9397-08002B2CF9AE}" pid="4" name="KSOTemplateDocerSaveRecord">
    <vt:lpwstr>eyJoZGlkIjoiNzJhNDMyNDJjZTI4N2UyNGIxYzQ0NDZiNTkxMWI3MGEiLCJ1c2VySWQiOiIzNjM3MTUzOTUifQ==</vt:lpwstr>
  </property>
</Properties>
</file>